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3" w:type="dxa"/>
        <w:jc w:val="left"/>
        <w:tblInd w:w="186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16"/>
        <w:gridCol w:w="1761"/>
        <w:gridCol w:w="1640"/>
        <w:gridCol w:w="2206"/>
      </w:tblGrid>
      <w:tr>
        <w:trPr/>
        <w:tc>
          <w:tcPr>
            <w:tcW w:w="39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insideH w:val="single" w:sz="2" w:space="0" w:color="DDDDDD"/>
            </w:tcBorders>
            <w:shd w:fill="B00403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Activity </w:t>
            </w:r>
          </w:p>
        </w:tc>
        <w:tc>
          <w:tcPr>
            <w:tcW w:w="176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insideH w:val="single" w:sz="2" w:space="0" w:color="DDDDDD"/>
            </w:tcBorders>
            <w:shd w:fill="B00403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Credits</w:t>
            </w:r>
          </w:p>
        </w:tc>
        <w:tc>
          <w:tcPr>
            <w:tcW w:w="16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insideH w:val="single" w:sz="2" w:space="0" w:color="DDDDDD"/>
            </w:tcBorders>
            <w:shd w:fill="B00403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Limit</w:t>
            </w:r>
          </w:p>
        </w:tc>
        <w:tc>
          <w:tcPr>
            <w:tcW w:w="220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B00403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Total</w:t>
            </w:r>
          </w:p>
        </w:tc>
      </w:tr>
      <w:tr>
        <w:trPr>
          <w:trHeight w:val="385" w:hRule="atLeast"/>
        </w:trPr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Attendance at any of the AMLFC’s Annual Conferences 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15/conference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>
                <w:sz w:val="16"/>
                <w:szCs w:val="16"/>
              </w:rPr>
              <w:t>Teaching AML/Finance courses at an accredited tertiary-level institution; credits awarded in accordance with institutional credit for the course (example: a 3 credit University course will garner 3 CPE credits)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Enrolling in AML/Finance courses at an accredited tertiary-level institution. Credits awarded in accordance with institutional credit for the course (example: a 3 credit University course will garner 3 CPE credits)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at other industry conferences pertaining to AML and/or compliance.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Articles published in scholarly journals or other industry publications. Three credits awarded for each article published. Articles must be published within the recertification cycle.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In-house training provided that it is related directly to AML and a certificate of completion is awarded demonstrating the number of hours that the participant has completed by attending the training.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Speeches, Presentations, Panel participation. Credit awarded based on the length (in hours) of the speech, presentation or panel discussion.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CPEs completed toward recertification for similar/other industry credentials (example: CPA, CFE, etc.)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Authorship of textbook or any other book relating to </w:t>
            </w:r>
            <w:r>
              <w:rPr>
                <w:sz w:val="16"/>
                <w:szCs w:val="16"/>
              </w:rPr>
              <w:t>AML or compliance.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10/book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Testimony in a court as an expert witness on money laundering and/or related topics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2/case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0/cycle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activities not listed above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1-10/year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20/cycle 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5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00403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GRAND TOTAL OF CPEs EARNED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LibreOffice/5.1.6.2$Linux_x86 LibreOffice_project/10m0$Build-2</Application>
  <Pages>1</Pages>
  <Words>225</Words>
  <Characters>1398</Characters>
  <CharactersWithSpaces>1588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2019-10-22T12:06:04Z</dcterms:created>
  <dc:creator/>
  <dc:description/>
  <dc:language>en-IN</dc:language>
  <cp:lastModifiedBy/>
  <dcterms:modified xsi:type="dcterms:W3CDTF">2019-10-22T13:09:24Z</dcterms:modified>
  <cp:revision>12</cp:revision>
  <dc:subject/>
  <dc:title/>
</cp:coreProperties>
</file>